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0600F34"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A75DAB" w:rsidRPr="00A75DAB">
        <w:rPr>
          <w:b/>
          <w:sz w:val="24"/>
          <w:szCs w:val="24"/>
        </w:rPr>
        <w:t>Ad-Hoc Meeting 1901</w:t>
      </w:r>
      <w:r w:rsidR="00EA6C38" w:rsidRPr="006E473F">
        <w:rPr>
          <w:rFonts w:hint="eastAsia"/>
          <w:b/>
          <w:sz w:val="24"/>
          <w:szCs w:val="24"/>
          <w:lang w:eastAsia="ko-KR"/>
        </w:rPr>
        <w:tab/>
      </w:r>
      <w:r w:rsidR="00821B19" w:rsidRPr="00821B19">
        <w:rPr>
          <w:b/>
          <w:sz w:val="24"/>
          <w:szCs w:val="24"/>
          <w:lang w:eastAsia="ko-KR"/>
        </w:rPr>
        <w:t>R1-1901042</w:t>
      </w:r>
      <w:bookmarkStart w:id="2" w:name="_GoBack"/>
      <w:bookmarkEnd w:id="2"/>
    </w:p>
    <w:bookmarkEnd w:id="0"/>
    <w:bookmarkEnd w:id="1"/>
    <w:p w14:paraId="7E9A5EFF" w14:textId="777B3B25" w:rsidR="003D6F63" w:rsidRPr="003D6F63" w:rsidRDefault="008F63FF" w:rsidP="003D6F63">
      <w:pPr>
        <w:tabs>
          <w:tab w:val="center" w:pos="4536"/>
          <w:tab w:val="right" w:pos="9072"/>
        </w:tabs>
        <w:rPr>
          <w:rFonts w:ascii="Arial" w:hAnsi="Arial" w:cs="Arial"/>
          <w:b/>
          <w:bCs/>
          <w:sz w:val="24"/>
          <w:szCs w:val="24"/>
        </w:rPr>
      </w:pPr>
      <w:r>
        <w:rPr>
          <w:rFonts w:ascii="Arial" w:hAnsi="Arial" w:cs="Arial"/>
          <w:b/>
          <w:bCs/>
          <w:sz w:val="24"/>
          <w:szCs w:val="24"/>
        </w:rPr>
        <w:t>Taipei</w:t>
      </w:r>
      <w:r w:rsidR="003D6F63" w:rsidRPr="00EC57A0">
        <w:rPr>
          <w:rFonts w:ascii="Arial" w:hAnsi="Arial" w:cs="Arial"/>
          <w:b/>
          <w:bCs/>
          <w:sz w:val="24"/>
          <w:szCs w:val="24"/>
        </w:rPr>
        <w:t xml:space="preserve">, </w:t>
      </w:r>
      <w:r w:rsidR="00A75DAB">
        <w:rPr>
          <w:rFonts w:ascii="Arial" w:hAnsi="Arial" w:cs="Arial"/>
          <w:b/>
          <w:sz w:val="24"/>
          <w:shd w:val="clear" w:color="auto" w:fill="FFFFFF"/>
        </w:rPr>
        <w:t>Taiwan,</w:t>
      </w:r>
      <w:r w:rsidR="00614ED4" w:rsidRPr="00EC57A0">
        <w:rPr>
          <w:rFonts w:ascii="Arial" w:hAnsi="Arial" w:cs="Arial"/>
          <w:b/>
          <w:bCs/>
          <w:sz w:val="32"/>
          <w:szCs w:val="24"/>
        </w:rPr>
        <w:t xml:space="preserve"> </w:t>
      </w:r>
      <w:r>
        <w:rPr>
          <w:rFonts w:ascii="Arial" w:hAnsi="Arial" w:cs="Arial"/>
          <w:b/>
          <w:bCs/>
          <w:sz w:val="24"/>
          <w:szCs w:val="24"/>
        </w:rPr>
        <w:t>21</w:t>
      </w:r>
      <w:r>
        <w:rPr>
          <w:rFonts w:ascii="Arial" w:hAnsi="Arial" w:cs="Arial"/>
          <w:b/>
          <w:bCs/>
          <w:sz w:val="24"/>
          <w:szCs w:val="24"/>
          <w:vertAlign w:val="superscript"/>
        </w:rPr>
        <w:t>st</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25</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sidR="00A75DAB" w:rsidRPr="00A75DAB">
        <w:rPr>
          <w:rFonts w:ascii="Arial" w:hAnsi="Arial" w:cs="Arial"/>
          <w:b/>
          <w:bCs/>
          <w:sz w:val="24"/>
          <w:szCs w:val="24"/>
        </w:rPr>
        <w:t>January,</w:t>
      </w:r>
      <w:r w:rsidR="00896778">
        <w:rPr>
          <w:rFonts w:ascii="Arial" w:hAnsi="Arial" w:cs="Arial"/>
          <w:b/>
          <w:bCs/>
          <w:sz w:val="24"/>
          <w:szCs w:val="24"/>
        </w:rPr>
        <w:t xml:space="preserve"> 201</w:t>
      </w:r>
      <w:r>
        <w:rPr>
          <w:rFonts w:ascii="Arial" w:hAnsi="Arial" w:cs="Arial"/>
          <w:b/>
          <w:bCs/>
          <w:sz w:val="24"/>
          <w:szCs w:val="24"/>
        </w:rPr>
        <w:t>9</w:t>
      </w:r>
    </w:p>
    <w:p w14:paraId="75CD537F" w14:textId="7D0788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136D0F">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B7DA85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36D0F" w:rsidRPr="00136D0F">
        <w:rPr>
          <w:rFonts w:ascii="Arial" w:hAnsi="Arial"/>
          <w:sz w:val="24"/>
        </w:rPr>
        <w:t>SSB/RMSI Periodicity for Initial Access in IAB</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3483195F" w:rsidR="00FE5E3A" w:rsidRDefault="008F63FF" w:rsidP="00DA0F6B">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 the objectives of this study item are identified as follows.</w:t>
      </w:r>
      <w:r>
        <w:t xml:space="preserve"> </w:t>
      </w:r>
    </w:p>
    <w:p w14:paraId="23EC7521" w14:textId="77777777" w:rsidR="00136D0F" w:rsidRDefault="00136D0F" w:rsidP="00136D0F">
      <w:pPr>
        <w:pStyle w:val="ListParagraph"/>
        <w:numPr>
          <w:ilvl w:val="0"/>
          <w:numId w:val="19"/>
        </w:numPr>
        <w:spacing w:before="60" w:after="60"/>
        <w:ind w:leftChars="0"/>
      </w:pPr>
      <w:r>
        <w:t>Physical layer specification [RAN1-led, RAN2, RAN3, RAN4]:</w:t>
      </w:r>
    </w:p>
    <w:p w14:paraId="41563719" w14:textId="77777777" w:rsidR="00136D0F" w:rsidRDefault="00136D0F" w:rsidP="00136D0F">
      <w:pPr>
        <w:pStyle w:val="ListParagraph"/>
        <w:numPr>
          <w:ilvl w:val="1"/>
          <w:numId w:val="19"/>
        </w:numPr>
        <w:spacing w:beforeLines="60" w:before="144" w:afterLines="60" w:after="144"/>
        <w:ind w:leftChars="0"/>
      </w:pPr>
      <w:r>
        <w:t>Specification of SSB/RMSI periodicity for NR initial access assumed by an IAB-node.</w:t>
      </w:r>
    </w:p>
    <w:p w14:paraId="238C9832" w14:textId="77777777" w:rsidR="00136D0F" w:rsidRDefault="00136D0F" w:rsidP="00136D0F">
      <w:pPr>
        <w:pStyle w:val="ListParagraph"/>
        <w:numPr>
          <w:ilvl w:val="1"/>
          <w:numId w:val="19"/>
        </w:numPr>
        <w:spacing w:beforeLines="60" w:before="144" w:afterLines="60" w:after="144"/>
        <w:ind w:leftChars="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63B76F08" w14:textId="77777777" w:rsidR="00136D0F" w:rsidRDefault="00136D0F" w:rsidP="00136D0F">
      <w:pPr>
        <w:numPr>
          <w:ilvl w:val="1"/>
          <w:numId w:val="19"/>
        </w:numPr>
        <w:spacing w:beforeLines="60" w:before="144" w:afterLines="60" w:after="144"/>
      </w:pPr>
      <w:r>
        <w:t xml:space="preserve">Specification of extension of RACH occasions and periodicities for backhaul RACH resources. w.r.t. access RACH resources, and associated network coordination mechanisms for selection of such parameters (in order to </w:t>
      </w:r>
      <w:proofErr w:type="spellStart"/>
      <w:r>
        <w:t>orthogonalize</w:t>
      </w:r>
      <w:proofErr w:type="spellEnd"/>
      <w:r>
        <w:t xml:space="preserve"> access and BH due to the half-duplex constraints)</w:t>
      </w:r>
      <w:r w:rsidDel="008F7E88">
        <w:t xml:space="preserve"> </w:t>
      </w:r>
    </w:p>
    <w:p w14:paraId="0F2B80F1" w14:textId="77777777" w:rsidR="00136D0F" w:rsidRDefault="00136D0F" w:rsidP="00136D0F">
      <w:pPr>
        <w:numPr>
          <w:ilvl w:val="1"/>
          <w:numId w:val="19"/>
        </w:numPr>
        <w:spacing w:beforeLines="60" w:before="144" w:afterLines="60" w:after="144"/>
      </w:pPr>
      <w:r>
        <w:t xml:space="preserve">Specification of mechanisms for resource multiplexing among backhaul and access links. This includes: </w:t>
      </w:r>
    </w:p>
    <w:p w14:paraId="12FE5AC5" w14:textId="77777777" w:rsidR="00136D0F" w:rsidRPr="00F366FB" w:rsidRDefault="00136D0F" w:rsidP="00136D0F">
      <w:pPr>
        <w:numPr>
          <w:ilvl w:val="2"/>
          <w:numId w:val="19"/>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42ECFA67" w14:textId="77777777" w:rsidR="00136D0F" w:rsidRPr="00F366FB" w:rsidRDefault="00136D0F" w:rsidP="00136D0F">
      <w:pPr>
        <w:pStyle w:val="ListParagraph"/>
        <w:numPr>
          <w:ilvl w:val="2"/>
          <w:numId w:val="19"/>
        </w:numPr>
        <w:spacing w:beforeLines="60" w:before="144" w:afterLines="60" w:after="144"/>
        <w:ind w:leftChars="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184F1C29" w14:textId="77777777" w:rsidR="00136D0F" w:rsidRDefault="00136D0F" w:rsidP="00136D0F">
      <w:pPr>
        <w:numPr>
          <w:ilvl w:val="2"/>
          <w:numId w:val="19"/>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DF80319" w14:textId="77777777" w:rsidR="00136D0F" w:rsidRDefault="00136D0F" w:rsidP="00136D0F">
      <w:pPr>
        <w:pStyle w:val="ListParagraph"/>
        <w:numPr>
          <w:ilvl w:val="2"/>
          <w:numId w:val="19"/>
        </w:numPr>
        <w:spacing w:beforeLines="60" w:before="144" w:afterLines="60" w:after="144"/>
        <w:ind w:leftChars="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46ABF975" w14:textId="13175E82" w:rsidR="008F63FF" w:rsidRPr="00F333D1" w:rsidRDefault="00136D0F" w:rsidP="00136D0F">
      <w:pPr>
        <w:pStyle w:val="ListParagraph"/>
        <w:numPr>
          <w:ilvl w:val="1"/>
          <w:numId w:val="19"/>
        </w:numPr>
        <w:spacing w:beforeLines="60" w:before="144" w:afterLines="60" w:after="144"/>
        <w:ind w:leftChars="0"/>
      </w:pPr>
      <w:r w:rsidRPr="00055AB4">
        <w:t>Specification of mechanism to support the “case-1” OTA timing alignment</w:t>
      </w:r>
      <w:r>
        <w:t>.</w:t>
      </w:r>
    </w:p>
    <w:p w14:paraId="38E21C3D" w14:textId="04B92954" w:rsidR="006E475E" w:rsidRDefault="00136D0F" w:rsidP="008F63FF">
      <w:pPr>
        <w:pStyle w:val="Style1"/>
        <w:spacing w:before="240"/>
      </w:pPr>
      <w:r w:rsidRPr="00136D0F">
        <w:t xml:space="preserve">During SI, </w:t>
      </w:r>
      <w:r w:rsidR="006E475E">
        <w:t>the following agreement</w:t>
      </w:r>
      <w:r w:rsidRPr="00136D0F">
        <w:t xml:space="preserve"> was </w:t>
      </w:r>
      <w:r w:rsidR="006E475E">
        <w:t>made</w:t>
      </w:r>
      <w:r w:rsidRPr="00136D0F">
        <w:t xml:space="preserve"> </w:t>
      </w:r>
      <w:r>
        <w:t xml:space="preserve">in </w:t>
      </w:r>
      <w:r w:rsidR="006E475E">
        <w:t xml:space="preserve">RAN#95 </w:t>
      </w:r>
      <w:r>
        <w:t>[</w:t>
      </w:r>
      <w:r w:rsidR="00CF6D6B">
        <w:t>2</w:t>
      </w:r>
      <w:r>
        <w:t>]</w:t>
      </w:r>
      <w:r w:rsidRPr="00136D0F">
        <w:t xml:space="preserve">. </w:t>
      </w:r>
    </w:p>
    <w:p w14:paraId="1ACC4853" w14:textId="77777777" w:rsidR="006E475E" w:rsidRPr="006E475E" w:rsidRDefault="006E475E" w:rsidP="006E475E">
      <w:pPr>
        <w:rPr>
          <w:b/>
          <w:lang w:eastAsia="x-none"/>
        </w:rPr>
      </w:pPr>
      <w:r w:rsidRPr="006E475E">
        <w:rPr>
          <w:highlight w:val="green"/>
          <w:lang w:eastAsia="x-none"/>
        </w:rPr>
        <w:t>Agreements</w:t>
      </w:r>
      <w:r w:rsidRPr="006E475E">
        <w:rPr>
          <w:b/>
          <w:lang w:eastAsia="x-none"/>
        </w:rPr>
        <w:t>:</w:t>
      </w:r>
    </w:p>
    <w:p w14:paraId="29FF65C8" w14:textId="77777777" w:rsidR="006E475E" w:rsidRPr="006E475E" w:rsidRDefault="006E475E" w:rsidP="006E475E">
      <w:pPr>
        <w:pStyle w:val="maintext"/>
        <w:numPr>
          <w:ilvl w:val="0"/>
          <w:numId w:val="22"/>
        </w:numPr>
        <w:ind w:firstLineChars="0"/>
        <w:rPr>
          <w:rFonts w:cs="Times New Roman"/>
        </w:rPr>
      </w:pPr>
      <w:bookmarkStart w:id="5" w:name="_Hlk529810053"/>
      <w:r w:rsidRPr="006E475E">
        <w:rPr>
          <w:rFonts w:cs="Times New Roman"/>
        </w:rPr>
        <w:t xml:space="preserve">In an NSA deployment (from an access UE perspective): </w:t>
      </w:r>
    </w:p>
    <w:p w14:paraId="45F06406" w14:textId="77777777" w:rsidR="006E475E" w:rsidRPr="006E475E" w:rsidRDefault="006E475E" w:rsidP="006E475E">
      <w:pPr>
        <w:pStyle w:val="maintext"/>
        <w:numPr>
          <w:ilvl w:val="1"/>
          <w:numId w:val="22"/>
        </w:numPr>
        <w:ind w:firstLineChars="0"/>
        <w:rPr>
          <w:rFonts w:cs="Times New Roman"/>
        </w:rPr>
      </w:pPr>
      <w:r w:rsidRPr="006E475E">
        <w:rPr>
          <w:rFonts w:cs="Times New Roman"/>
        </w:rPr>
        <w:t>When the IAB node MT performs initial access on the NR carrier, it follows the same Stage 1 initial access as in SA deployments (from an access UE perspective).</w:t>
      </w:r>
    </w:p>
    <w:p w14:paraId="323A2720" w14:textId="77777777" w:rsidR="006E475E" w:rsidRPr="006E475E" w:rsidRDefault="006E475E" w:rsidP="006E475E">
      <w:pPr>
        <w:pStyle w:val="maintext"/>
        <w:numPr>
          <w:ilvl w:val="3"/>
          <w:numId w:val="22"/>
        </w:numPr>
        <w:ind w:firstLineChars="0"/>
        <w:rPr>
          <w:rFonts w:cs="Times New Roman"/>
        </w:rPr>
      </w:pPr>
      <w:r w:rsidRPr="006E475E">
        <w:rPr>
          <w:rFonts w:cs="Times New Roman"/>
        </w:rPr>
        <w:t>The SSB/RMSI periodicity assumed by the MTs for initial access may be longer than 20ms assumed by Rel-15 UEs, e.g., 40ms, 80ms, 160ms, etc.</w:t>
      </w:r>
    </w:p>
    <w:p w14:paraId="7BFBD482" w14:textId="77777777" w:rsidR="006E475E" w:rsidRPr="006E475E" w:rsidRDefault="006E475E" w:rsidP="006E475E">
      <w:pPr>
        <w:pStyle w:val="maintext"/>
        <w:numPr>
          <w:ilvl w:val="4"/>
          <w:numId w:val="22"/>
        </w:numPr>
        <w:ind w:firstLineChars="0"/>
        <w:rPr>
          <w:rFonts w:cs="Times New Roman"/>
        </w:rPr>
      </w:pPr>
      <w:r w:rsidRPr="006E475E">
        <w:rPr>
          <w:rFonts w:cs="Times New Roman"/>
        </w:rPr>
        <w:t>Note: one value is to be finalized during WI phase</w:t>
      </w:r>
    </w:p>
    <w:p w14:paraId="07146FEC" w14:textId="77777777" w:rsidR="006E475E" w:rsidRPr="006E475E" w:rsidRDefault="006E475E" w:rsidP="006E475E">
      <w:pPr>
        <w:pStyle w:val="maintext"/>
        <w:numPr>
          <w:ilvl w:val="2"/>
          <w:numId w:val="22"/>
        </w:numPr>
        <w:ind w:firstLineChars="0"/>
        <w:rPr>
          <w:rFonts w:cs="Times New Roman"/>
        </w:rPr>
      </w:pPr>
      <w:r w:rsidRPr="006E475E">
        <w:rPr>
          <w:rFonts w:cs="Times New Roman"/>
        </w:rPr>
        <w:t xml:space="preserve">Note: This implies that the candidate parent IAB nodes/donors must support both NSA functionality for the UE and SA functionality for the MT on the NR carrier </w:t>
      </w:r>
    </w:p>
    <w:bookmarkEnd w:id="5"/>
    <w:p w14:paraId="36166B67" w14:textId="77777777" w:rsidR="006E475E" w:rsidRPr="006E475E" w:rsidRDefault="006E475E" w:rsidP="006E475E">
      <w:pPr>
        <w:pStyle w:val="maintext"/>
        <w:numPr>
          <w:ilvl w:val="1"/>
          <w:numId w:val="22"/>
        </w:numPr>
        <w:ind w:firstLineChars="0"/>
        <w:rPr>
          <w:rFonts w:cs="Times New Roman"/>
        </w:rPr>
      </w:pPr>
      <w:r w:rsidRPr="006E475E">
        <w:rPr>
          <w:rFonts w:cs="Times New Roman"/>
        </w:rPr>
        <w:lastRenderedPageBreak/>
        <w:t>When IAB node MT performs initial access on a LTE carrier, Stage 2 solutions can be used for inter-IAB node discovery and measurement by the MT on the NR carrier.</w:t>
      </w:r>
    </w:p>
    <w:p w14:paraId="18686A26" w14:textId="7358B95D" w:rsidR="00D569E7" w:rsidRDefault="00B410E6" w:rsidP="008F63FF">
      <w:pPr>
        <w:pStyle w:val="Style1"/>
        <w:spacing w:before="240"/>
      </w:pPr>
      <w:r>
        <w:t>T</w:t>
      </w:r>
      <w:r w:rsidR="00136D0F" w:rsidRPr="00136D0F">
        <w:t xml:space="preserve">his contribution </w:t>
      </w:r>
      <w:r>
        <w:t xml:space="preserve">will </w:t>
      </w:r>
      <w:r w:rsidR="00136D0F" w:rsidRPr="00136D0F">
        <w:t>discuss SSB/RMSI periodicity values to be supported and related spec support necessary for IAB if longer than 20ms periodicity is needed.</w:t>
      </w:r>
    </w:p>
    <w:p w14:paraId="21A7DEE4" w14:textId="2FA3908D" w:rsidR="00566DA5" w:rsidRPr="00566DA5" w:rsidRDefault="00B410E6" w:rsidP="00566DA5">
      <w:pPr>
        <w:pStyle w:val="Heading1"/>
        <w:tabs>
          <w:tab w:val="num" w:pos="0"/>
        </w:tabs>
        <w:ind w:left="799" w:hanging="799"/>
      </w:pPr>
      <w:r w:rsidRPr="00136D0F">
        <w:t>SSB/RMSI periodicity</w:t>
      </w:r>
      <w:r>
        <w:t xml:space="preserve"> for initial access in an NSA deployment</w:t>
      </w:r>
    </w:p>
    <w:p w14:paraId="017C3289" w14:textId="77777777" w:rsidR="00EB5E84" w:rsidRDefault="00EB5E84" w:rsidP="001B7226">
      <w:pPr>
        <w:spacing w:line="288" w:lineRule="auto"/>
        <w:ind w:firstLine="396"/>
        <w:jc w:val="both"/>
        <w:rPr>
          <w:lang w:eastAsia="ko-KR"/>
        </w:rPr>
      </w:pPr>
      <w:r>
        <w:rPr>
          <w:lang w:eastAsia="ko-KR"/>
        </w:rPr>
        <w:t>Two cases can be considered for a NSA deployment:</w:t>
      </w:r>
    </w:p>
    <w:p w14:paraId="2513D74F" w14:textId="47FB6524" w:rsidR="00EB5E84" w:rsidRDefault="00EB5E84" w:rsidP="00EB5E84">
      <w:pPr>
        <w:pStyle w:val="ListParagraph"/>
        <w:numPr>
          <w:ilvl w:val="0"/>
          <w:numId w:val="23"/>
        </w:numPr>
        <w:spacing w:line="288" w:lineRule="auto"/>
        <w:ind w:leftChars="0"/>
        <w:jc w:val="both"/>
        <w:rPr>
          <w:lang w:eastAsia="ko-KR"/>
        </w:rPr>
      </w:pPr>
      <w:r>
        <w:rPr>
          <w:lang w:eastAsia="ko-KR"/>
        </w:rPr>
        <w:t>Case 1: The IAB node MT can perform initial access on a LTE carrier so that the NSA deployment is from both an access UE and IAB node MT perspectives;</w:t>
      </w:r>
    </w:p>
    <w:p w14:paraId="0F6BE726" w14:textId="31B5ED59" w:rsidR="00EB5E84" w:rsidRDefault="00EB5E84" w:rsidP="00EB5E84">
      <w:pPr>
        <w:pStyle w:val="ListParagraph"/>
        <w:numPr>
          <w:ilvl w:val="0"/>
          <w:numId w:val="23"/>
        </w:numPr>
        <w:spacing w:line="288" w:lineRule="auto"/>
        <w:ind w:leftChars="0"/>
        <w:jc w:val="both"/>
        <w:rPr>
          <w:lang w:eastAsia="ko-KR"/>
        </w:rPr>
      </w:pPr>
      <w:r>
        <w:rPr>
          <w:lang w:eastAsia="ko-KR"/>
        </w:rPr>
        <w:t xml:space="preserve">Case 2: The IAB node MT can only perform initial access on a NR carrier so that the NSA deployment is only from an access UE perspective. </w:t>
      </w:r>
    </w:p>
    <w:p w14:paraId="4E0B7DEB" w14:textId="6D31F472" w:rsidR="00527D35" w:rsidRDefault="00590AE1" w:rsidP="001B7226">
      <w:pPr>
        <w:spacing w:line="288" w:lineRule="auto"/>
        <w:ind w:firstLine="396"/>
        <w:jc w:val="both"/>
        <w:rPr>
          <w:lang w:eastAsia="ko-KR"/>
        </w:rPr>
      </w:pPr>
      <w:r>
        <w:rPr>
          <w:lang w:eastAsia="ko-KR"/>
        </w:rPr>
        <w:t xml:space="preserve">For case 1, since IAB node MT has already synchronized with donor </w:t>
      </w:r>
      <w:proofErr w:type="spellStart"/>
      <w:r w:rsidR="00475430">
        <w:rPr>
          <w:lang w:eastAsia="ko-KR"/>
        </w:rPr>
        <w:t>eNB</w:t>
      </w:r>
      <w:proofErr w:type="spellEnd"/>
      <w:r w:rsidR="00475430">
        <w:rPr>
          <w:lang w:eastAsia="ko-KR"/>
        </w:rPr>
        <w:t xml:space="preserve"> </w:t>
      </w:r>
      <w:r>
        <w:rPr>
          <w:lang w:eastAsia="ko-KR"/>
        </w:rPr>
        <w:t>on a LTE carrier</w:t>
      </w:r>
      <w:r w:rsidR="00527D35" w:rsidRPr="00527D35">
        <w:rPr>
          <w:lang w:eastAsia="ko-KR"/>
        </w:rPr>
        <w:t xml:space="preserve"> via an LTE </w:t>
      </w:r>
      <w:proofErr w:type="spellStart"/>
      <w:r w:rsidR="00527D35" w:rsidRPr="00527D35">
        <w:rPr>
          <w:lang w:eastAsia="ko-KR"/>
        </w:rPr>
        <w:t>PCell</w:t>
      </w:r>
      <w:proofErr w:type="spellEnd"/>
      <w:r w:rsidR="00527D35" w:rsidRPr="00527D35">
        <w:rPr>
          <w:lang w:eastAsia="ko-KR"/>
        </w:rPr>
        <w:t xml:space="preserve"> and the NR frequency carrier </w:t>
      </w:r>
      <w:r w:rsidR="00527D35">
        <w:rPr>
          <w:lang w:eastAsia="ko-KR"/>
        </w:rPr>
        <w:t>can be</w:t>
      </w:r>
      <w:r w:rsidR="00527D35" w:rsidRPr="00527D35">
        <w:rPr>
          <w:lang w:eastAsia="ko-KR"/>
        </w:rPr>
        <w:t xml:space="preserve"> </w:t>
      </w:r>
      <w:r w:rsidR="00527D35">
        <w:rPr>
          <w:lang w:eastAsia="ko-KR"/>
        </w:rPr>
        <w:t xml:space="preserve">further </w:t>
      </w:r>
      <w:r w:rsidR="00527D35" w:rsidRPr="00527D35">
        <w:rPr>
          <w:lang w:eastAsia="ko-KR"/>
        </w:rPr>
        <w:t xml:space="preserve">added </w:t>
      </w:r>
      <w:r w:rsidR="00527D35">
        <w:rPr>
          <w:lang w:eastAsia="ko-KR"/>
        </w:rPr>
        <w:t>via</w:t>
      </w:r>
      <w:r w:rsidR="00527D35" w:rsidRPr="00527D35">
        <w:rPr>
          <w:lang w:eastAsia="ko-KR"/>
        </w:rPr>
        <w:t xml:space="preserve"> the EN-DC procedure</w:t>
      </w:r>
      <w:r w:rsidR="00527D35">
        <w:rPr>
          <w:lang w:eastAsia="ko-KR"/>
        </w:rPr>
        <w:t>,</w:t>
      </w:r>
      <w:r w:rsidR="00527D35" w:rsidRPr="00527D35">
        <w:rPr>
          <w:lang w:eastAsia="ko-KR"/>
        </w:rPr>
        <w:t xml:space="preserve"> </w:t>
      </w:r>
      <w:r>
        <w:rPr>
          <w:lang w:eastAsia="ko-KR"/>
        </w:rPr>
        <w:t xml:space="preserve">a longer periodicity for inter IAB node discovery and measurement can be assumed to reduce power consumption as well as the signalling overhead and </w:t>
      </w:r>
      <w:r w:rsidR="00854E10">
        <w:rPr>
          <w:lang w:eastAsia="ko-KR"/>
        </w:rPr>
        <w:t xml:space="preserve">such periodicity can be signalled via the established link on a LTE carrier. </w:t>
      </w:r>
      <w:r>
        <w:rPr>
          <w:lang w:eastAsia="ko-KR"/>
        </w:rPr>
        <w:t xml:space="preserve">For case 2, </w:t>
      </w:r>
      <w:r w:rsidR="00854E10">
        <w:rPr>
          <w:lang w:eastAsia="ko-KR"/>
        </w:rPr>
        <w:t>the IAB node MT needs to perform initial access on a NR carrier without any previously established LTE links so that periodicity signalling as in case 1 is impossible</w:t>
      </w:r>
      <w:r w:rsidR="009F1598">
        <w:rPr>
          <w:lang w:eastAsia="ko-KR"/>
        </w:rPr>
        <w:t>, i.e., no assumptions at the network side can be made.</w:t>
      </w:r>
    </w:p>
    <w:p w14:paraId="138EE85D" w14:textId="564818F4" w:rsidR="009F1598" w:rsidRPr="009F1598" w:rsidRDefault="009F1598" w:rsidP="009F1598">
      <w:pPr>
        <w:spacing w:line="288" w:lineRule="auto"/>
        <w:jc w:val="both"/>
        <w:rPr>
          <w:i/>
          <w:lang w:eastAsia="ko-KR"/>
        </w:rPr>
      </w:pPr>
      <w:r w:rsidRPr="009F1598">
        <w:rPr>
          <w:b/>
          <w:i/>
          <w:lang w:eastAsia="ko-KR"/>
        </w:rPr>
        <w:t>Observation 1</w:t>
      </w:r>
      <w:r w:rsidRPr="009F1598">
        <w:rPr>
          <w:i/>
          <w:lang w:eastAsia="ko-KR"/>
        </w:rPr>
        <w:t>: For the case where the IAB node MT can only perform initial access on a NR carrier so that the NSA deployment is only from an access UE perspective, the IAB node MT needs to perform initial access on a NR carrier without any previously established links on a LTE carrier so that SSB/RMSI periodicity on a NR carrier cannot be signalled to the IAB node MT.</w:t>
      </w:r>
    </w:p>
    <w:p w14:paraId="334F8431" w14:textId="307BAEFA" w:rsidR="00965960" w:rsidRDefault="009F1598" w:rsidP="001B7226">
      <w:pPr>
        <w:spacing w:line="288" w:lineRule="auto"/>
        <w:ind w:firstLine="396"/>
        <w:jc w:val="both"/>
        <w:rPr>
          <w:lang w:eastAsia="ko-KR"/>
        </w:rPr>
      </w:pPr>
      <w:r>
        <w:rPr>
          <w:lang w:eastAsia="ko-KR"/>
        </w:rPr>
        <w:t xml:space="preserve">One of the benefits for longer periodicity assumed by IAB node MT is the power consumption can be reduced since the IAB node MT can </w:t>
      </w:r>
      <w:r w:rsidRPr="009F1598">
        <w:rPr>
          <w:lang w:eastAsia="ko-KR"/>
        </w:rPr>
        <w:t xml:space="preserve">assume the long default periodicity for cell measurement </w:t>
      </w:r>
      <w:r>
        <w:rPr>
          <w:lang w:eastAsia="ko-KR"/>
        </w:rPr>
        <w:t>so that</w:t>
      </w:r>
      <w:r w:rsidRPr="009F1598">
        <w:rPr>
          <w:lang w:eastAsia="ko-KR"/>
        </w:rPr>
        <w:t xml:space="preserve"> </w:t>
      </w:r>
      <w:r>
        <w:rPr>
          <w:lang w:eastAsia="ko-KR"/>
        </w:rPr>
        <w:t>the IAB node MT can</w:t>
      </w:r>
      <w:r w:rsidRPr="009F1598">
        <w:rPr>
          <w:lang w:eastAsia="ko-KR"/>
        </w:rPr>
        <w:t xml:space="preserve"> </w:t>
      </w:r>
      <w:r>
        <w:rPr>
          <w:lang w:eastAsia="ko-KR"/>
        </w:rPr>
        <w:t xml:space="preserve">be activated to </w:t>
      </w:r>
      <w:r w:rsidRPr="009F1598">
        <w:rPr>
          <w:lang w:eastAsia="ko-KR"/>
        </w:rPr>
        <w:t>listen to the</w:t>
      </w:r>
      <w:r>
        <w:rPr>
          <w:lang w:eastAsia="ko-KR"/>
        </w:rPr>
        <w:t xml:space="preserve"> </w:t>
      </w:r>
      <w:r w:rsidRPr="009F1598">
        <w:rPr>
          <w:lang w:eastAsia="ko-KR"/>
        </w:rPr>
        <w:t>SS</w:t>
      </w:r>
      <w:r w:rsidR="001954B1">
        <w:rPr>
          <w:lang w:eastAsia="ko-KR"/>
        </w:rPr>
        <w:t>B</w:t>
      </w:r>
      <w:r w:rsidRPr="009F1598">
        <w:rPr>
          <w:lang w:eastAsia="ko-KR"/>
        </w:rPr>
        <w:t xml:space="preserve"> </w:t>
      </w:r>
      <w:r>
        <w:rPr>
          <w:lang w:eastAsia="ko-KR"/>
        </w:rPr>
        <w:t>less frequently.</w:t>
      </w:r>
      <w:r w:rsidR="001954B1">
        <w:rPr>
          <w:lang w:eastAsia="ko-KR"/>
        </w:rPr>
        <w:t xml:space="preserve"> On the contrary, a short periodicity means the device needs to monitor the SSB more frequently, which is likely to drain UE power. However, power consumption is only crucial for UE devices since their power is limited based on battery capacity. For IAB nodes, which can be connected to a power supply, power consumption is not an essential issue.</w:t>
      </w:r>
    </w:p>
    <w:p w14:paraId="26A3D066" w14:textId="2CA69400" w:rsidR="009957E5" w:rsidRPr="009957E5" w:rsidRDefault="009957E5" w:rsidP="009957E5">
      <w:pPr>
        <w:spacing w:line="288" w:lineRule="auto"/>
        <w:jc w:val="both"/>
        <w:rPr>
          <w:i/>
          <w:lang w:eastAsia="ko-KR"/>
        </w:rPr>
      </w:pPr>
      <w:r w:rsidRPr="009957E5">
        <w:rPr>
          <w:b/>
          <w:i/>
          <w:lang w:eastAsia="ko-KR"/>
        </w:rPr>
        <w:t>Observation 2</w:t>
      </w:r>
      <w:r w:rsidRPr="009957E5">
        <w:rPr>
          <w:i/>
          <w:lang w:eastAsia="ko-KR"/>
        </w:rPr>
        <w:t>: Power consumption of SSB/RMSI reception is not an essential issue for IAB nodes.</w:t>
      </w:r>
    </w:p>
    <w:p w14:paraId="7BAE027E" w14:textId="5584FA2B" w:rsidR="00965960" w:rsidRDefault="00965960" w:rsidP="001B7226">
      <w:pPr>
        <w:spacing w:line="288" w:lineRule="auto"/>
        <w:ind w:firstLine="396"/>
        <w:jc w:val="both"/>
        <w:rPr>
          <w:lang w:eastAsia="ko-KR"/>
        </w:rPr>
      </w:pPr>
      <w:r>
        <w:rPr>
          <w:lang w:eastAsia="ko-KR"/>
        </w:rPr>
        <w:t xml:space="preserve">Another issue for long periodicity assumption is </w:t>
      </w:r>
      <w:r w:rsidRPr="00965960">
        <w:rPr>
          <w:lang w:eastAsia="ko-KR"/>
        </w:rPr>
        <w:t xml:space="preserve">that it could result in long latency </w:t>
      </w:r>
      <w:r>
        <w:rPr>
          <w:lang w:eastAsia="ko-KR"/>
        </w:rPr>
        <w:t>when IAB node MT</w:t>
      </w:r>
      <w:r w:rsidRPr="00965960">
        <w:rPr>
          <w:lang w:eastAsia="ko-KR"/>
        </w:rPr>
        <w:t xml:space="preserve"> detect</w:t>
      </w:r>
      <w:r>
        <w:rPr>
          <w:lang w:eastAsia="ko-KR"/>
        </w:rPr>
        <w:t>s</w:t>
      </w:r>
      <w:r w:rsidRPr="00965960">
        <w:rPr>
          <w:lang w:eastAsia="ko-KR"/>
        </w:rPr>
        <w:t xml:space="preserve"> cell initially and decod</w:t>
      </w:r>
      <w:r>
        <w:rPr>
          <w:lang w:eastAsia="ko-KR"/>
        </w:rPr>
        <w:t>es</w:t>
      </w:r>
      <w:r w:rsidRPr="00965960">
        <w:rPr>
          <w:lang w:eastAsia="ko-KR"/>
        </w:rPr>
        <w:t xml:space="preserve"> PBCH</w:t>
      </w:r>
      <w:r>
        <w:rPr>
          <w:lang w:eastAsia="ko-KR"/>
        </w:rPr>
        <w:t>.</w:t>
      </w:r>
      <w:r w:rsidRPr="00965960">
        <w:rPr>
          <w:lang w:eastAsia="ko-KR"/>
        </w:rPr>
        <w:t xml:space="preserve"> </w:t>
      </w:r>
      <w:r>
        <w:rPr>
          <w:lang w:eastAsia="ko-KR"/>
        </w:rPr>
        <w:t>In the worst case, IAB node MT might need to rely on multiple copies of signals transmitted across SS</w:t>
      </w:r>
      <w:r w:rsidR="009957E5">
        <w:rPr>
          <w:lang w:eastAsia="ko-KR"/>
        </w:rPr>
        <w:t xml:space="preserve">B burst sets to decode system information. In addition, when IAB node MT performs Rx beam sweeping, it might also rely on multiple SSB burst sets. </w:t>
      </w:r>
      <w:r w:rsidR="0078024A">
        <w:rPr>
          <w:lang w:eastAsia="ko-KR"/>
        </w:rPr>
        <w:t xml:space="preserve">As it has been mentioned in [1], longer RACH periodicity might be needed for IAB, which will further increase latency. </w:t>
      </w:r>
      <w:r w:rsidR="009957E5">
        <w:rPr>
          <w:lang w:eastAsia="ko-KR"/>
        </w:rPr>
        <w:t>For both cases, longer periodicity will introduce significant latency.</w:t>
      </w:r>
    </w:p>
    <w:p w14:paraId="6E5CE988" w14:textId="52266955" w:rsidR="009957E5" w:rsidRPr="009957E5" w:rsidRDefault="009957E5" w:rsidP="009957E5">
      <w:pPr>
        <w:spacing w:line="288" w:lineRule="auto"/>
        <w:jc w:val="both"/>
        <w:rPr>
          <w:i/>
          <w:lang w:eastAsia="ko-KR"/>
        </w:rPr>
      </w:pPr>
      <w:r w:rsidRPr="009957E5">
        <w:rPr>
          <w:b/>
          <w:i/>
          <w:lang w:eastAsia="ko-KR"/>
        </w:rPr>
        <w:t xml:space="preserve">Observation </w:t>
      </w:r>
      <w:r>
        <w:rPr>
          <w:b/>
          <w:i/>
          <w:lang w:eastAsia="ko-KR"/>
        </w:rPr>
        <w:t>3</w:t>
      </w:r>
      <w:r w:rsidRPr="009957E5">
        <w:rPr>
          <w:i/>
          <w:lang w:eastAsia="ko-KR"/>
        </w:rPr>
        <w:t xml:space="preserve">: Longer periodicity assumed by IAB node MT might reduce IAB node power consumption at the cost of significantly longer latency for system information decoding.  </w:t>
      </w:r>
    </w:p>
    <w:p w14:paraId="6C7FD0E4" w14:textId="25DA447F" w:rsidR="00AF1226" w:rsidRDefault="00EE31C2" w:rsidP="00AF1226">
      <w:pPr>
        <w:pStyle w:val="Style1"/>
      </w:pPr>
      <w:r>
        <w:t xml:space="preserve">Furthermore, the current periodicity assumed by the IAB node MT for SSB/RMSI is based on the default SSB/RMSI periodicity, i.e., 20ms. Assuming different periodicities on NR carriers in a NSA deployment might </w:t>
      </w:r>
      <w:r w:rsidR="009D2FF2">
        <w:t xml:space="preserve">have impacts on both </w:t>
      </w:r>
      <w:r>
        <w:t xml:space="preserve">UE SSB/RMSI reception </w:t>
      </w:r>
      <w:r w:rsidR="009D2FF2">
        <w:t>and OOS behaviour. For the OOS case, a longer assumed periodicity might not be significant issue for a UE but for IAB node MT, not only itself but all the UEs connected to it will be affected and suffer from longer latency, which could lead to degraded system performance.</w:t>
      </w:r>
    </w:p>
    <w:p w14:paraId="07C3853F" w14:textId="1FD00333" w:rsidR="007461B4" w:rsidRDefault="007461B4" w:rsidP="00AF1226">
      <w:pPr>
        <w:pStyle w:val="Style1"/>
      </w:pPr>
      <w:r>
        <w:t xml:space="preserve">Finally, the specification impact of longer periodicity assumption is not clear. Actually, a longer SSB/RMSI periodicity assumption can be up to IAB node MT implementation. </w:t>
      </w:r>
      <w:r w:rsidR="001D144A">
        <w:t xml:space="preserve">While UEs assume 20ms SSB/RMSI periodicity, IAB </w:t>
      </w:r>
      <w:r w:rsidR="001D144A">
        <w:lastRenderedPageBreak/>
        <w:t>node MT can assume a longer periodicity and it is still able to detect SSB and decode system information without any further specifications.</w:t>
      </w:r>
      <w:r>
        <w:t xml:space="preserve"> </w:t>
      </w:r>
    </w:p>
    <w:p w14:paraId="0A177AD8" w14:textId="5960EED9" w:rsidR="001D144A" w:rsidRPr="001D144A" w:rsidRDefault="001D144A" w:rsidP="001D144A">
      <w:pPr>
        <w:pStyle w:val="Style1"/>
        <w:ind w:firstLine="0"/>
        <w:rPr>
          <w:i/>
        </w:rPr>
      </w:pPr>
      <w:r w:rsidRPr="001D144A">
        <w:rPr>
          <w:b/>
          <w:i/>
        </w:rPr>
        <w:t>Observation 4</w:t>
      </w:r>
      <w:r w:rsidRPr="001D144A">
        <w:rPr>
          <w:i/>
        </w:rPr>
        <w:t>: Longer periodicity assumption can be an implementation issue for IAB node MT.</w:t>
      </w:r>
    </w:p>
    <w:p w14:paraId="78B9710A" w14:textId="182B11DB" w:rsidR="001D144A" w:rsidRDefault="001D144A" w:rsidP="001D144A">
      <w:pPr>
        <w:pStyle w:val="Style1"/>
      </w:pPr>
      <w:r>
        <w:t>Based on above discussions and observations, we can reach the conclusion that longer SSB/RMSI periodicity assumed by IAB node MT is not needed and the current value, i.e., 20ms, is sufficient.</w:t>
      </w:r>
    </w:p>
    <w:p w14:paraId="3D060483" w14:textId="4EB410BC" w:rsidR="00AF1226" w:rsidRDefault="00AF1226" w:rsidP="00AF1226">
      <w:pPr>
        <w:pStyle w:val="Style1"/>
        <w:ind w:firstLine="0"/>
      </w:pPr>
      <w:r w:rsidRPr="00AF1226">
        <w:rPr>
          <w:b/>
          <w:i/>
        </w:rPr>
        <w:t xml:space="preserve">Proposal </w:t>
      </w:r>
      <w:r w:rsidR="001D144A">
        <w:rPr>
          <w:b/>
          <w:i/>
        </w:rPr>
        <w:t>1</w:t>
      </w:r>
      <w:r w:rsidRPr="00AF1226">
        <w:rPr>
          <w:i/>
        </w:rPr>
        <w:t xml:space="preserve">: </w:t>
      </w:r>
      <w:r w:rsidR="001D144A">
        <w:rPr>
          <w:i/>
        </w:rPr>
        <w:t>The current SSB/RMSI periodicity value, i.e., 20ms, is sufficient for IAB node MT initial access and there is no need to specify longer SSB/RMSI periodicity values.</w:t>
      </w:r>
    </w:p>
    <w:p w14:paraId="613E77E4" w14:textId="77777777" w:rsidR="003D3E2E" w:rsidRDefault="003D3E2E" w:rsidP="00900885">
      <w:pPr>
        <w:pStyle w:val="Heading1"/>
        <w:tabs>
          <w:tab w:val="num" w:pos="0"/>
        </w:tabs>
        <w:ind w:left="799" w:hanging="799"/>
      </w:pPr>
      <w:r>
        <w:rPr>
          <w:rFonts w:hint="eastAsia"/>
        </w:rPr>
        <w:t>Conclusions</w:t>
      </w:r>
    </w:p>
    <w:p w14:paraId="6F1588B9" w14:textId="57DED2EA" w:rsidR="004B3F71" w:rsidRDefault="004B3F71" w:rsidP="004B3F71">
      <w:pPr>
        <w:pStyle w:val="Style1"/>
        <w:rPr>
          <w:lang w:eastAsia="zh-CN"/>
        </w:rPr>
      </w:pPr>
      <w:r w:rsidRPr="00BF18A8">
        <w:rPr>
          <w:lang w:eastAsia="zh-CN"/>
        </w:rPr>
        <w:t xml:space="preserve">This contribution </w:t>
      </w:r>
      <w:r w:rsidR="00965960" w:rsidRPr="00965960">
        <w:rPr>
          <w:lang w:eastAsia="zh-CN"/>
        </w:rPr>
        <w:t>discuss</w:t>
      </w:r>
      <w:r w:rsidR="00965960">
        <w:rPr>
          <w:lang w:eastAsia="zh-CN"/>
        </w:rPr>
        <w:t>es</w:t>
      </w:r>
      <w:r w:rsidR="00965960" w:rsidRPr="00965960">
        <w:rPr>
          <w:lang w:eastAsia="zh-CN"/>
        </w:rPr>
        <w:t xml:space="preserve"> SSB/RMSI periodicity values to be supported</w:t>
      </w:r>
      <w:r>
        <w:t>.</w:t>
      </w:r>
      <w:r>
        <w:rPr>
          <w:lang w:eastAsia="zh-CN"/>
        </w:rPr>
        <w:t xml:space="preserve"> In particular, the following </w:t>
      </w:r>
      <w:r w:rsidR="00F461E6">
        <w:rPr>
          <w:lang w:eastAsia="zh-CN"/>
        </w:rPr>
        <w:t>is</w:t>
      </w:r>
      <w:r>
        <w:rPr>
          <w:lang w:eastAsia="zh-CN"/>
        </w:rPr>
        <w:t xml:space="preserve"> proposed. </w:t>
      </w:r>
    </w:p>
    <w:p w14:paraId="214889C3" w14:textId="77777777" w:rsidR="00D44A6A" w:rsidRPr="009F1598" w:rsidRDefault="00D44A6A" w:rsidP="00D44A6A">
      <w:pPr>
        <w:spacing w:line="288" w:lineRule="auto"/>
        <w:jc w:val="both"/>
        <w:rPr>
          <w:i/>
          <w:lang w:eastAsia="ko-KR"/>
        </w:rPr>
      </w:pPr>
      <w:r w:rsidRPr="009F1598">
        <w:rPr>
          <w:b/>
          <w:i/>
          <w:lang w:eastAsia="ko-KR"/>
        </w:rPr>
        <w:t>Observation 1</w:t>
      </w:r>
      <w:r w:rsidRPr="009F1598">
        <w:rPr>
          <w:i/>
          <w:lang w:eastAsia="ko-KR"/>
        </w:rPr>
        <w:t>: For the case where the IAB node MT can only perform initial access on a NR carrier so that the NSA deployment is only from an access UE perspective, the IAB node MT needs to perform initial access on a NR carrier without any previously established links on a LTE carrier so that SSB/RMSI periodicity on a NR carrier cannot be signalled to the IAB node MT.</w:t>
      </w:r>
    </w:p>
    <w:p w14:paraId="1874421A" w14:textId="77777777" w:rsidR="00D44A6A" w:rsidRPr="009957E5" w:rsidRDefault="00D44A6A" w:rsidP="00D44A6A">
      <w:pPr>
        <w:spacing w:line="288" w:lineRule="auto"/>
        <w:jc w:val="both"/>
        <w:rPr>
          <w:i/>
          <w:lang w:eastAsia="ko-KR"/>
        </w:rPr>
      </w:pPr>
      <w:r w:rsidRPr="009957E5">
        <w:rPr>
          <w:b/>
          <w:i/>
          <w:lang w:eastAsia="ko-KR"/>
        </w:rPr>
        <w:t>Observation 2</w:t>
      </w:r>
      <w:r w:rsidRPr="009957E5">
        <w:rPr>
          <w:i/>
          <w:lang w:eastAsia="ko-KR"/>
        </w:rPr>
        <w:t>: Power consumption of SSB/RMSI reception is not an essential issue for IAB nodes.</w:t>
      </w:r>
    </w:p>
    <w:p w14:paraId="2CBDB9ED" w14:textId="77777777" w:rsidR="00D44A6A" w:rsidRPr="009957E5" w:rsidRDefault="00D44A6A" w:rsidP="00D44A6A">
      <w:pPr>
        <w:spacing w:line="288" w:lineRule="auto"/>
        <w:jc w:val="both"/>
        <w:rPr>
          <w:i/>
          <w:lang w:eastAsia="ko-KR"/>
        </w:rPr>
      </w:pPr>
      <w:r w:rsidRPr="009957E5">
        <w:rPr>
          <w:b/>
          <w:i/>
          <w:lang w:eastAsia="ko-KR"/>
        </w:rPr>
        <w:t xml:space="preserve">Observation </w:t>
      </w:r>
      <w:r>
        <w:rPr>
          <w:b/>
          <w:i/>
          <w:lang w:eastAsia="ko-KR"/>
        </w:rPr>
        <w:t>3</w:t>
      </w:r>
      <w:r w:rsidRPr="009957E5">
        <w:rPr>
          <w:i/>
          <w:lang w:eastAsia="ko-KR"/>
        </w:rPr>
        <w:t xml:space="preserve">: Longer periodicity assumed by IAB node MT might reduce IAB node power consumption at the cost of significantly longer latency for system information decoding.  </w:t>
      </w:r>
    </w:p>
    <w:p w14:paraId="5FC33966" w14:textId="77777777" w:rsidR="00D44A6A" w:rsidRPr="001D144A" w:rsidRDefault="00D44A6A" w:rsidP="00D44A6A">
      <w:pPr>
        <w:pStyle w:val="Style1"/>
        <w:ind w:firstLine="0"/>
        <w:rPr>
          <w:i/>
        </w:rPr>
      </w:pPr>
      <w:r w:rsidRPr="001D144A">
        <w:rPr>
          <w:b/>
          <w:i/>
        </w:rPr>
        <w:t>Observation 4</w:t>
      </w:r>
      <w:r w:rsidRPr="001D144A">
        <w:rPr>
          <w:i/>
        </w:rPr>
        <w:t>: Longer periodicity assumption can be an implementation issue for IAB node MT.</w:t>
      </w:r>
    </w:p>
    <w:p w14:paraId="256B7C41" w14:textId="5EA33213" w:rsidR="00B96A6F" w:rsidRPr="00504062" w:rsidRDefault="00F52201" w:rsidP="00C36E6E">
      <w:pPr>
        <w:pStyle w:val="Style1"/>
        <w:ind w:firstLine="0"/>
      </w:pPr>
      <w:r w:rsidRPr="00AF1226">
        <w:rPr>
          <w:b/>
          <w:i/>
        </w:rPr>
        <w:t xml:space="preserve">Proposal </w:t>
      </w:r>
      <w:r>
        <w:rPr>
          <w:b/>
          <w:i/>
        </w:rPr>
        <w:t>1</w:t>
      </w:r>
      <w:r w:rsidRPr="00AF1226">
        <w:rPr>
          <w:i/>
        </w:rPr>
        <w:t xml:space="preserve">: </w:t>
      </w:r>
      <w:r>
        <w:rPr>
          <w:i/>
        </w:rPr>
        <w:t>The current SSB/RMSI periodicity value, i.e., 20ms, is sufficient for IAB node MT initial access and there is no need to specify longer SSB/RMSI periodicity values.</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6DEA0C86" w14:textId="77777777" w:rsidR="00407CD1" w:rsidRDefault="00407CD1" w:rsidP="00407CD1">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Pr>
          <w:rFonts w:eastAsia="MS Mincho"/>
          <w:lang w:eastAsia="ja-JP"/>
        </w:rPr>
        <w:t xml:space="preserve">82 New WID Proposal: </w:t>
      </w:r>
      <w:r w:rsidRPr="006C67D4">
        <w:rPr>
          <w:rFonts w:eastAsia="MS Mincho"/>
          <w:lang w:eastAsia="ja-JP"/>
        </w:rPr>
        <w:t xml:space="preserve">WID on </w:t>
      </w:r>
      <w:r w:rsidRPr="00B00E94">
        <w:rPr>
          <w:rFonts w:eastAsia="MS Mincho"/>
          <w:lang w:eastAsia="ja-JP"/>
        </w:rPr>
        <w:t>Integrated access and backhaul for NR</w:t>
      </w:r>
      <w:r>
        <w:rPr>
          <w:rFonts w:eastAsia="MS Mincho"/>
          <w:lang w:eastAsia="ja-JP"/>
        </w:rPr>
        <w:t>.</w:t>
      </w:r>
    </w:p>
    <w:p w14:paraId="46EF7441" w14:textId="5329A566" w:rsidR="00407CD1" w:rsidRDefault="00407CD1" w:rsidP="00407CD1">
      <w:pPr>
        <w:spacing w:after="0" w:line="360" w:lineRule="auto"/>
        <w:jc w:val="both"/>
        <w:rPr>
          <w:rFonts w:eastAsia="MS Mincho"/>
          <w:lang w:eastAsia="ja-JP"/>
        </w:rPr>
      </w:pPr>
      <w:r>
        <w:rPr>
          <w:rFonts w:eastAsia="MS Mincho"/>
          <w:lang w:eastAsia="ja-JP"/>
        </w:rPr>
        <w:t>[2] 3GPP RAN1#95 Chairman’s note.</w:t>
      </w:r>
    </w:p>
    <w:p w14:paraId="48AA622D" w14:textId="77777777" w:rsidR="00DA0F6B" w:rsidRDefault="00DA0F6B" w:rsidP="00DA0F6B">
      <w:pPr>
        <w:spacing w:after="0" w:line="360" w:lineRule="auto"/>
        <w:jc w:val="both"/>
        <w:rPr>
          <w:rFonts w:eastAsia="MS Mincho"/>
          <w:lang w:eastAsia="ja-JP"/>
        </w:rPr>
      </w:pPr>
    </w:p>
    <w:p w14:paraId="5B2D48A0" w14:textId="77777777" w:rsidR="00DA0F6B" w:rsidRPr="00DA0F6B" w:rsidRDefault="00DA0F6B" w:rsidP="00DA0F6B">
      <w:pPr>
        <w:spacing w:after="0" w:line="360" w:lineRule="auto"/>
        <w:jc w:val="both"/>
        <w:rPr>
          <w:rFonts w:eastAsia="MS Mincho"/>
          <w:lang w:val="en-US" w:eastAsia="ja-JP"/>
        </w:rPr>
      </w:pPr>
    </w:p>
    <w:sectPr w:rsidR="00DA0F6B" w:rsidRPr="00DA0F6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8EE5F" w14:textId="77777777" w:rsidR="004F0D7D" w:rsidRDefault="004F0D7D">
      <w:r>
        <w:separator/>
      </w:r>
    </w:p>
  </w:endnote>
  <w:endnote w:type="continuationSeparator" w:id="0">
    <w:p w14:paraId="79F06CC0" w14:textId="77777777" w:rsidR="004F0D7D" w:rsidRDefault="004F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DAA93" w14:textId="77777777" w:rsidR="004F0D7D" w:rsidRDefault="004F0D7D">
      <w:r>
        <w:separator/>
      </w:r>
    </w:p>
  </w:footnote>
  <w:footnote w:type="continuationSeparator" w:id="0">
    <w:p w14:paraId="344D5A62" w14:textId="77777777" w:rsidR="004F0D7D" w:rsidRDefault="004F0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CA311A"/>
    <w:multiLevelType w:val="hybridMultilevel"/>
    <w:tmpl w:val="CEF0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9"/>
  </w:num>
  <w:num w:numId="4">
    <w:abstractNumId w:val="17"/>
  </w:num>
  <w:num w:numId="5">
    <w:abstractNumId w:val="1"/>
  </w:num>
  <w:num w:numId="6">
    <w:abstractNumId w:val="12"/>
  </w:num>
  <w:num w:numId="7">
    <w:abstractNumId w:val="8"/>
  </w:num>
  <w:num w:numId="8">
    <w:abstractNumId w:val="16"/>
  </w:num>
  <w:num w:numId="9">
    <w:abstractNumId w:val="15"/>
  </w:num>
  <w:num w:numId="10">
    <w:abstractNumId w:val="4"/>
  </w:num>
  <w:num w:numId="11">
    <w:abstractNumId w:val="14"/>
  </w:num>
  <w:num w:numId="12">
    <w:abstractNumId w:val="6"/>
  </w:num>
  <w:num w:numId="13">
    <w:abstractNumId w:val="0"/>
  </w:num>
  <w:num w:numId="14">
    <w:abstractNumId w:val="2"/>
  </w:num>
  <w:num w:numId="15">
    <w:abstractNumId w:val="19"/>
  </w:num>
  <w:num w:numId="16">
    <w:abstractNumId w:val="11"/>
  </w:num>
  <w:num w:numId="17">
    <w:abstractNumId w:val="21"/>
  </w:num>
  <w:num w:numId="18">
    <w:abstractNumId w:val="5"/>
  </w:num>
  <w:num w:numId="19">
    <w:abstractNumId w:val="13"/>
  </w:num>
  <w:num w:numId="20">
    <w:abstractNumId w:val="18"/>
  </w:num>
  <w:num w:numId="21">
    <w:abstractNumId w:val="20"/>
  </w:num>
  <w:num w:numId="22">
    <w:abstractNumId w:val="7"/>
  </w:num>
  <w:num w:numId="2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54B1"/>
    <w:rsid w:val="00196998"/>
    <w:rsid w:val="00197BA4"/>
    <w:rsid w:val="001A2884"/>
    <w:rsid w:val="001A3681"/>
    <w:rsid w:val="001A3AFD"/>
    <w:rsid w:val="001A3EC6"/>
    <w:rsid w:val="001A53DF"/>
    <w:rsid w:val="001A56C7"/>
    <w:rsid w:val="001B010D"/>
    <w:rsid w:val="001B1FAD"/>
    <w:rsid w:val="001B4387"/>
    <w:rsid w:val="001B5D33"/>
    <w:rsid w:val="001B620C"/>
    <w:rsid w:val="001B7226"/>
    <w:rsid w:val="001B7B86"/>
    <w:rsid w:val="001B7E9B"/>
    <w:rsid w:val="001C06AA"/>
    <w:rsid w:val="001C1534"/>
    <w:rsid w:val="001C3694"/>
    <w:rsid w:val="001C46E4"/>
    <w:rsid w:val="001C64AB"/>
    <w:rsid w:val="001C6890"/>
    <w:rsid w:val="001C76C5"/>
    <w:rsid w:val="001C7CCA"/>
    <w:rsid w:val="001D04EE"/>
    <w:rsid w:val="001D07C2"/>
    <w:rsid w:val="001D0D60"/>
    <w:rsid w:val="001D0FD7"/>
    <w:rsid w:val="001D144A"/>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4C1B"/>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4308"/>
    <w:rsid w:val="0025697E"/>
    <w:rsid w:val="00256D40"/>
    <w:rsid w:val="00257528"/>
    <w:rsid w:val="002576FF"/>
    <w:rsid w:val="00257F7E"/>
    <w:rsid w:val="00261808"/>
    <w:rsid w:val="002624DF"/>
    <w:rsid w:val="00262587"/>
    <w:rsid w:val="002638DC"/>
    <w:rsid w:val="0026470F"/>
    <w:rsid w:val="00264DBB"/>
    <w:rsid w:val="0026625C"/>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06AF"/>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07CD1"/>
    <w:rsid w:val="004107E6"/>
    <w:rsid w:val="00413B67"/>
    <w:rsid w:val="00414844"/>
    <w:rsid w:val="004149D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5430"/>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0D7D"/>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D35"/>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AE1"/>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C8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61B"/>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475E"/>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1B4"/>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4A"/>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1B19"/>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4E10"/>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35C1"/>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324A"/>
    <w:rsid w:val="008D5A50"/>
    <w:rsid w:val="008D5BAB"/>
    <w:rsid w:val="008D7D37"/>
    <w:rsid w:val="008E0543"/>
    <w:rsid w:val="008E1091"/>
    <w:rsid w:val="008E158C"/>
    <w:rsid w:val="008E1CBB"/>
    <w:rsid w:val="008E1EB9"/>
    <w:rsid w:val="008E4551"/>
    <w:rsid w:val="008E686B"/>
    <w:rsid w:val="008F2B67"/>
    <w:rsid w:val="008F2C09"/>
    <w:rsid w:val="008F301F"/>
    <w:rsid w:val="008F3F16"/>
    <w:rsid w:val="008F55A4"/>
    <w:rsid w:val="008F63FF"/>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363E"/>
    <w:rsid w:val="00965960"/>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57E5"/>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2FF2"/>
    <w:rsid w:val="009D45C5"/>
    <w:rsid w:val="009E14B5"/>
    <w:rsid w:val="009E2872"/>
    <w:rsid w:val="009E4A14"/>
    <w:rsid w:val="009E4A21"/>
    <w:rsid w:val="009E5000"/>
    <w:rsid w:val="009F0D5B"/>
    <w:rsid w:val="009F0F9B"/>
    <w:rsid w:val="009F1598"/>
    <w:rsid w:val="009F1A2B"/>
    <w:rsid w:val="009F307D"/>
    <w:rsid w:val="009F34AE"/>
    <w:rsid w:val="009F451D"/>
    <w:rsid w:val="009F45AB"/>
    <w:rsid w:val="009F5B4F"/>
    <w:rsid w:val="00A01DEE"/>
    <w:rsid w:val="00A02D0F"/>
    <w:rsid w:val="00A04849"/>
    <w:rsid w:val="00A06DC6"/>
    <w:rsid w:val="00A0774C"/>
    <w:rsid w:val="00A109F3"/>
    <w:rsid w:val="00A11BF8"/>
    <w:rsid w:val="00A12A90"/>
    <w:rsid w:val="00A16523"/>
    <w:rsid w:val="00A17773"/>
    <w:rsid w:val="00A17F1A"/>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3A5"/>
    <w:rsid w:val="00A41899"/>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477"/>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E6"/>
    <w:rsid w:val="00B410F3"/>
    <w:rsid w:val="00B42710"/>
    <w:rsid w:val="00B4397A"/>
    <w:rsid w:val="00B5171E"/>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2D0B"/>
    <w:rsid w:val="00BA3A0E"/>
    <w:rsid w:val="00BA3D0B"/>
    <w:rsid w:val="00BA46FD"/>
    <w:rsid w:val="00BA4E8F"/>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5"/>
    <w:rsid w:val="00C328DB"/>
    <w:rsid w:val="00C32AC2"/>
    <w:rsid w:val="00C32C5C"/>
    <w:rsid w:val="00C33BE7"/>
    <w:rsid w:val="00C34682"/>
    <w:rsid w:val="00C359D2"/>
    <w:rsid w:val="00C36E5B"/>
    <w:rsid w:val="00C36E6E"/>
    <w:rsid w:val="00C37ED2"/>
    <w:rsid w:val="00C42ED0"/>
    <w:rsid w:val="00C43D0A"/>
    <w:rsid w:val="00C44D97"/>
    <w:rsid w:val="00C44FE3"/>
    <w:rsid w:val="00C50936"/>
    <w:rsid w:val="00C511E0"/>
    <w:rsid w:val="00C51554"/>
    <w:rsid w:val="00C516E6"/>
    <w:rsid w:val="00C52045"/>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D6B"/>
    <w:rsid w:val="00CF6E14"/>
    <w:rsid w:val="00CF7537"/>
    <w:rsid w:val="00CF7C58"/>
    <w:rsid w:val="00D035CB"/>
    <w:rsid w:val="00D043BC"/>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4A6A"/>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27D4"/>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5E84"/>
    <w:rsid w:val="00EB7E2D"/>
    <w:rsid w:val="00EC03BE"/>
    <w:rsid w:val="00EC1B2D"/>
    <w:rsid w:val="00EC1D3E"/>
    <w:rsid w:val="00EC2EDE"/>
    <w:rsid w:val="00EC4AF7"/>
    <w:rsid w:val="00EC4DB3"/>
    <w:rsid w:val="00EC57A0"/>
    <w:rsid w:val="00EC60B9"/>
    <w:rsid w:val="00EC6877"/>
    <w:rsid w:val="00ED00DE"/>
    <w:rsid w:val="00ED048F"/>
    <w:rsid w:val="00ED0A8D"/>
    <w:rsid w:val="00ED66F9"/>
    <w:rsid w:val="00EE082D"/>
    <w:rsid w:val="00EE08C5"/>
    <w:rsid w:val="00EE0A81"/>
    <w:rsid w:val="00EE31C2"/>
    <w:rsid w:val="00EE442B"/>
    <w:rsid w:val="00EE4827"/>
    <w:rsid w:val="00EE62BA"/>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220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0E2A"/>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6D14"/>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 ?? Char,????? Char,???? Char,Lista1 Char,リスト段落 Char,列出段落1 Char,中等深浅网格 1 - 着色 21 Char"/>
    <w:link w:val="ListParagraph"/>
    <w:uiPriority w:val="34"/>
    <w:qFormat/>
    <w:rsid w:val="00136D0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2AC62-924B-4257-B85B-AD7B519DA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2</cp:revision>
  <cp:lastPrinted>2012-03-15T10:36:00Z</cp:lastPrinted>
  <dcterms:created xsi:type="dcterms:W3CDTF">2019-01-11T08:11:00Z</dcterms:created>
  <dcterms:modified xsi:type="dcterms:W3CDTF">2019-01-11T08:11:00Z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